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B4" w:rsidRDefault="000103B4"/>
    <w:p w:rsidR="000103B4" w:rsidRDefault="00BB4339">
      <w:pPr>
        <w:jc w:val="center"/>
        <w:rPr>
          <w:b/>
          <w:sz w:val="32"/>
          <w:szCs w:val="32"/>
        </w:rPr>
      </w:pPr>
      <w:r>
        <w:rPr>
          <w:rFonts w:ascii="Arial" w:eastAsia="宋体" w:hAnsi="Arial" w:cs="Arial" w:hint="eastAsia"/>
          <w:b/>
          <w:color w:val="333333"/>
          <w:kern w:val="0"/>
          <w:sz w:val="32"/>
          <w:szCs w:val="32"/>
        </w:rPr>
        <w:t>2017</w:t>
      </w:r>
      <w:r>
        <w:rPr>
          <w:rFonts w:ascii="Arial" w:eastAsia="宋体" w:hAnsi="Arial" w:cs="Arial" w:hint="eastAsia"/>
          <w:b/>
          <w:color w:val="333333"/>
          <w:kern w:val="0"/>
          <w:sz w:val="32"/>
          <w:szCs w:val="32"/>
        </w:rPr>
        <w:t>年度省财政科研项目预算说明</w:t>
      </w:r>
    </w:p>
    <w:tbl>
      <w:tblPr>
        <w:tblStyle w:val="a8"/>
        <w:tblW w:w="8897" w:type="dxa"/>
        <w:tblLayout w:type="fixed"/>
        <w:tblLook w:val="04A0"/>
      </w:tblPr>
      <w:tblGrid>
        <w:gridCol w:w="2376"/>
        <w:gridCol w:w="6521"/>
      </w:tblGrid>
      <w:tr w:rsidR="000103B4">
        <w:tc>
          <w:tcPr>
            <w:tcW w:w="2376" w:type="dxa"/>
            <w:vAlign w:val="center"/>
          </w:tcPr>
          <w:p w:rsidR="000103B4" w:rsidRDefault="00BB4339">
            <w:pPr>
              <w:widowControl/>
              <w:jc w:val="center"/>
              <w:rPr>
                <w:rFonts w:ascii="Arial" w:eastAsia="宋体" w:hAnsi="Arial" w:cs="Arial"/>
                <w:b/>
                <w:color w:val="333333"/>
                <w:kern w:val="0"/>
                <w:sz w:val="28"/>
                <w:szCs w:val="28"/>
              </w:rPr>
            </w:pPr>
            <w:r>
              <w:rPr>
                <w:rFonts w:ascii="Arial" w:eastAsia="宋体" w:hAnsi="Arial" w:cs="Arial" w:hint="eastAsia"/>
                <w:b/>
                <w:color w:val="333333"/>
                <w:kern w:val="0"/>
                <w:sz w:val="28"/>
                <w:szCs w:val="28"/>
              </w:rPr>
              <w:t>预算科目</w:t>
            </w:r>
          </w:p>
        </w:tc>
        <w:tc>
          <w:tcPr>
            <w:tcW w:w="6521" w:type="dxa"/>
          </w:tcPr>
          <w:p w:rsidR="000103B4" w:rsidRDefault="00BB4339">
            <w:pPr>
              <w:jc w:val="center"/>
              <w:rPr>
                <w:b/>
                <w:sz w:val="28"/>
                <w:szCs w:val="28"/>
              </w:rPr>
            </w:pPr>
            <w:r>
              <w:rPr>
                <w:rFonts w:hint="eastAsia"/>
                <w:b/>
                <w:sz w:val="28"/>
                <w:szCs w:val="28"/>
              </w:rPr>
              <w:t>说</w:t>
            </w:r>
            <w:r>
              <w:rPr>
                <w:rFonts w:hint="eastAsia"/>
                <w:b/>
                <w:sz w:val="28"/>
                <w:szCs w:val="28"/>
              </w:rPr>
              <w:t xml:space="preserve">   </w:t>
            </w:r>
            <w:r>
              <w:rPr>
                <w:rFonts w:hint="eastAsia"/>
                <w:b/>
                <w:sz w:val="28"/>
                <w:szCs w:val="28"/>
              </w:rPr>
              <w:t>明</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基建费：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自筹经费可列支，省财政经费不能支出该科目</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1</w:t>
            </w:r>
            <w:r>
              <w:rPr>
                <w:color w:val="333333"/>
              </w:rPr>
              <w:t>、直接费用：</w:t>
            </w:r>
          </w:p>
        </w:tc>
        <w:tc>
          <w:tcPr>
            <w:tcW w:w="6521" w:type="dxa"/>
            <w:vAlign w:val="center"/>
          </w:tcPr>
          <w:p w:rsidR="000103B4" w:rsidRDefault="000103B4">
            <w:pPr>
              <w:pStyle w:val="a5"/>
              <w:shd w:val="clear" w:color="auto" w:fill="FFFFFF"/>
              <w:spacing w:before="225" w:beforeAutospacing="0" w:after="0" w:afterAutospacing="0" w:line="450" w:lineRule="atLeast"/>
              <w:rPr>
                <w:color w:val="333333"/>
              </w:rPr>
            </w:pP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1</w:t>
            </w:r>
            <w:r>
              <w:rPr>
                <w:color w:val="333333"/>
              </w:rPr>
              <w:t>）设备费：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是指在项目研究开发过程中购置或试制专用仪器设备，以及对现有仪器设备进行升级改造的费用，可列支项目研究所需的电脑、打印机等。</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2</w:t>
            </w:r>
            <w:r>
              <w:rPr>
                <w:color w:val="333333"/>
              </w:rPr>
              <w:t>）材料费：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是指在项目实施过程中消耗的各种原材料、辅助材料等低值易耗品的采购及运输、装卸、整理等费用</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3</w:t>
            </w:r>
            <w:r>
              <w:rPr>
                <w:color w:val="333333"/>
              </w:rPr>
              <w:t>）测试化验加工外协费：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是指在项目实施过程中支付给外单位（包括承担单位内部独立经济核算单位）的检验、测试、化验及加工等费用</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4</w:t>
            </w:r>
            <w:r>
              <w:rPr>
                <w:color w:val="333333"/>
              </w:rPr>
              <w:t>）燃料动力费：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是指在项目实施过程中直接使用的相关仪器设备、科学装置等运行发生的水、电、气、燃料消耗费用等</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5</w:t>
            </w:r>
            <w:r>
              <w:rPr>
                <w:color w:val="333333"/>
              </w:rPr>
              <w:t>）差旅费</w:t>
            </w:r>
            <w:r>
              <w:rPr>
                <w:color w:val="333333"/>
              </w:rPr>
              <w:t>/</w:t>
            </w:r>
            <w:r>
              <w:rPr>
                <w:color w:val="333333"/>
              </w:rPr>
              <w:t>会议费</w:t>
            </w:r>
            <w:r>
              <w:rPr>
                <w:color w:val="333333"/>
              </w:rPr>
              <w:t>/</w:t>
            </w:r>
            <w:r>
              <w:rPr>
                <w:color w:val="333333"/>
              </w:rPr>
              <w:t>国际合作与交流费：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highlight w:val="yellow"/>
              </w:rPr>
              <w:t>该科目支出预算</w:t>
            </w:r>
            <w:r>
              <w:rPr>
                <w:color w:val="333333"/>
                <w:highlight w:val="yellow"/>
              </w:rPr>
              <w:t>不超过直接</w:t>
            </w:r>
            <w:r>
              <w:rPr>
                <w:rFonts w:hint="eastAsia"/>
                <w:color w:val="333333"/>
                <w:highlight w:val="yellow"/>
              </w:rPr>
              <w:t>费</w:t>
            </w:r>
            <w:r>
              <w:rPr>
                <w:color w:val="333333"/>
                <w:highlight w:val="yellow"/>
              </w:rPr>
              <w:t>用</w:t>
            </w:r>
            <w:r>
              <w:rPr>
                <w:color w:val="333333"/>
                <w:highlight w:val="yellow"/>
              </w:rPr>
              <w:t>10%</w:t>
            </w:r>
            <w:r>
              <w:rPr>
                <w:color w:val="333333"/>
                <w:highlight w:val="yellow"/>
              </w:rPr>
              <w:t>，不需提供测算依据。</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6</w:t>
            </w:r>
            <w:r>
              <w:rPr>
                <w:color w:val="333333"/>
              </w:rPr>
              <w:t>）出版</w:t>
            </w:r>
            <w:r>
              <w:rPr>
                <w:color w:val="333333"/>
              </w:rPr>
              <w:t>/</w:t>
            </w:r>
            <w:r>
              <w:rPr>
                <w:color w:val="333333"/>
              </w:rPr>
              <w:t>文献</w:t>
            </w:r>
            <w:r>
              <w:rPr>
                <w:color w:val="333333"/>
              </w:rPr>
              <w:t>/</w:t>
            </w:r>
            <w:r>
              <w:rPr>
                <w:color w:val="333333"/>
              </w:rPr>
              <w:t>信息传播</w:t>
            </w:r>
            <w:r>
              <w:rPr>
                <w:color w:val="333333"/>
              </w:rPr>
              <w:t>/</w:t>
            </w:r>
            <w:r>
              <w:rPr>
                <w:color w:val="333333"/>
              </w:rPr>
              <w:t>知识产权事物费：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是指在项目实施过程中，需要支付的出版费、资料费、专用软件购买费、文献检索费、专业通信费、专利申请及其他知识产权事务等费用。</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7</w:t>
            </w:r>
            <w:r>
              <w:rPr>
                <w:color w:val="333333"/>
              </w:rPr>
              <w:t>）劳务费：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是指在项目实施过程中支付给参与项目的研究生、博士后、访问学者以及项目聘用的研究人员、科研辅助人员等的劳务性费用。</w:t>
            </w:r>
            <w:r>
              <w:rPr>
                <w:color w:val="333333"/>
                <w:highlight w:val="yellow"/>
              </w:rPr>
              <w:t>人员费、劳务费、绩效支出的支出总额最高不超过该项目经费的</w:t>
            </w:r>
            <w:r>
              <w:rPr>
                <w:rFonts w:hint="eastAsia"/>
                <w:color w:val="333333"/>
                <w:highlight w:val="yellow"/>
              </w:rPr>
              <w:t>40%</w:t>
            </w:r>
            <w:r>
              <w:rPr>
                <w:rFonts w:hint="eastAsia"/>
                <w:color w:val="333333"/>
              </w:rPr>
              <w:t>。</w:t>
            </w:r>
          </w:p>
        </w:tc>
      </w:tr>
      <w:tr w:rsidR="000103B4">
        <w:trPr>
          <w:trHeight w:val="629"/>
        </w:trPr>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8</w:t>
            </w:r>
            <w:r>
              <w:rPr>
                <w:color w:val="333333"/>
              </w:rPr>
              <w:t>）人员费：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highlight w:val="yellow"/>
              </w:rPr>
              <w:t>省级财政科研项目资金不允许生均拨款高校支出人员费</w:t>
            </w:r>
          </w:p>
        </w:tc>
      </w:tr>
      <w:tr w:rsidR="000103B4">
        <w:trPr>
          <w:trHeight w:val="553"/>
        </w:trPr>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lastRenderedPageBreak/>
              <w:t>（</w:t>
            </w:r>
            <w:r>
              <w:rPr>
                <w:color w:val="333333"/>
              </w:rPr>
              <w:t>9</w:t>
            </w:r>
            <w:r>
              <w:rPr>
                <w:color w:val="333333"/>
              </w:rPr>
              <w:t>）专家咨询费：</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是指在项目实施过程中支付给临时聘请的咨询专家的费用。</w:t>
            </w:r>
          </w:p>
        </w:tc>
      </w:tr>
      <w:tr w:rsidR="000103B4">
        <w:trPr>
          <w:trHeight w:val="561"/>
        </w:trPr>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10</w:t>
            </w:r>
            <w:r>
              <w:rPr>
                <w:color w:val="333333"/>
              </w:rPr>
              <w:t>）直接费用其他支出：</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highlight w:val="yellow"/>
              </w:rPr>
              <w:t>建议列支少量纸张笔墨等</w:t>
            </w:r>
            <w:r>
              <w:rPr>
                <w:rFonts w:hint="eastAsia"/>
                <w:color w:val="333333"/>
              </w:rPr>
              <w:t>费用</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11</w:t>
            </w:r>
            <w:r>
              <w:rPr>
                <w:color w:val="333333"/>
              </w:rPr>
              <w:t>）科技金融服务体系其他费用：</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highlight w:val="yellow"/>
              </w:rPr>
              <w:t>省基金不能支出该科目</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①</w:t>
            </w:r>
            <w:r>
              <w:rPr>
                <w:color w:val="333333"/>
              </w:rPr>
              <w:t>信用评级补贴：</w:t>
            </w:r>
          </w:p>
        </w:tc>
        <w:tc>
          <w:tcPr>
            <w:tcW w:w="6521" w:type="dxa"/>
            <w:vAlign w:val="center"/>
          </w:tcPr>
          <w:p w:rsidR="000103B4" w:rsidRDefault="000103B4">
            <w:pPr>
              <w:pStyle w:val="a5"/>
              <w:shd w:val="clear" w:color="auto" w:fill="FFFFFF"/>
              <w:spacing w:before="225" w:beforeAutospacing="0" w:after="0" w:afterAutospacing="0" w:line="450" w:lineRule="atLeast"/>
              <w:rPr>
                <w:color w:val="333333"/>
              </w:rPr>
            </w:pP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②</w:t>
            </w:r>
            <w:r>
              <w:rPr>
                <w:color w:val="333333"/>
              </w:rPr>
              <w:t>大赛场租：</w:t>
            </w:r>
          </w:p>
        </w:tc>
        <w:tc>
          <w:tcPr>
            <w:tcW w:w="6521" w:type="dxa"/>
            <w:vAlign w:val="center"/>
          </w:tcPr>
          <w:p w:rsidR="000103B4" w:rsidRDefault="000103B4">
            <w:pPr>
              <w:pStyle w:val="a5"/>
              <w:shd w:val="clear" w:color="auto" w:fill="FFFFFF"/>
              <w:spacing w:before="225" w:beforeAutospacing="0" w:after="0" w:afterAutospacing="0" w:line="450" w:lineRule="atLeast"/>
              <w:rPr>
                <w:color w:val="333333"/>
              </w:rPr>
            </w:pP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③</w:t>
            </w:r>
            <w:r>
              <w:rPr>
                <w:color w:val="333333"/>
              </w:rPr>
              <w:t>特派员奖励与补贴：</w:t>
            </w:r>
          </w:p>
        </w:tc>
        <w:tc>
          <w:tcPr>
            <w:tcW w:w="6521" w:type="dxa"/>
            <w:vAlign w:val="center"/>
          </w:tcPr>
          <w:p w:rsidR="000103B4" w:rsidRDefault="000103B4">
            <w:pPr>
              <w:pStyle w:val="a5"/>
              <w:shd w:val="clear" w:color="auto" w:fill="FFFFFF"/>
              <w:spacing w:before="225" w:beforeAutospacing="0" w:after="0" w:afterAutospacing="0" w:line="450" w:lineRule="atLeast"/>
              <w:rPr>
                <w:color w:val="333333"/>
              </w:rPr>
            </w:pP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2</w:t>
            </w:r>
            <w:r>
              <w:rPr>
                <w:color w:val="333333"/>
              </w:rPr>
              <w:t>、间接费用：</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（直接费用</w:t>
            </w:r>
            <w:r>
              <w:rPr>
                <w:rFonts w:hint="eastAsia"/>
                <w:color w:val="333333"/>
              </w:rPr>
              <w:t>-</w:t>
            </w:r>
            <w:r>
              <w:rPr>
                <w:rFonts w:hint="eastAsia"/>
                <w:color w:val="333333"/>
              </w:rPr>
              <w:t>设备购置费）</w:t>
            </w:r>
            <w:r>
              <w:rPr>
                <w:rFonts w:hint="eastAsia"/>
                <w:color w:val="333333"/>
              </w:rPr>
              <w:t>*20%</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1</w:t>
            </w:r>
            <w:r>
              <w:rPr>
                <w:color w:val="333333"/>
              </w:rPr>
              <w:t>）间接成本：</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highlight w:val="yellow"/>
              </w:rPr>
              <w:t>等于间接费</w:t>
            </w:r>
            <w:r>
              <w:rPr>
                <w:rFonts w:hint="eastAsia"/>
                <w:color w:val="333333"/>
                <w:highlight w:val="yellow"/>
              </w:rPr>
              <w:t>-</w:t>
            </w:r>
            <w:r>
              <w:rPr>
                <w:rFonts w:hint="eastAsia"/>
                <w:color w:val="333333"/>
                <w:highlight w:val="yellow"/>
              </w:rPr>
              <w:t>管理费</w:t>
            </w:r>
            <w:r>
              <w:rPr>
                <w:rFonts w:hint="eastAsia"/>
                <w:color w:val="333333"/>
                <w:highlight w:val="yellow"/>
              </w:rPr>
              <w:t>-</w:t>
            </w:r>
            <w:r>
              <w:rPr>
                <w:rFonts w:hint="eastAsia"/>
                <w:color w:val="333333"/>
                <w:highlight w:val="yellow"/>
              </w:rPr>
              <w:t>绩效</w:t>
            </w:r>
            <w:r>
              <w:rPr>
                <w:rFonts w:hint="eastAsia"/>
                <w:color w:val="333333"/>
                <w:highlight w:val="yellow"/>
              </w:rPr>
              <w:t>支</w:t>
            </w:r>
            <w:r>
              <w:rPr>
                <w:rFonts w:hint="eastAsia"/>
                <w:color w:val="333333"/>
                <w:highlight w:val="yellow"/>
              </w:rPr>
              <w:t>出，</w:t>
            </w:r>
            <w:r>
              <w:rPr>
                <w:rFonts w:hint="eastAsia"/>
                <w:color w:val="333333"/>
              </w:rPr>
              <w:t>用于补偿项目承担单位为项目研究提供的现有仪器设备及房屋、水、电、气、暖消耗等间接成本</w:t>
            </w:r>
            <w:r>
              <w:rPr>
                <w:rFonts w:hint="eastAsia"/>
                <w:color w:val="333333"/>
              </w:rPr>
              <w:t>。预算不得少于总经费</w:t>
            </w:r>
            <w:r>
              <w:rPr>
                <w:rFonts w:hint="eastAsia"/>
                <w:color w:val="333333"/>
              </w:rPr>
              <w:t>*0.5%</w:t>
            </w:r>
            <w:r>
              <w:rPr>
                <w:rFonts w:hint="eastAsia"/>
                <w:color w:val="333333"/>
              </w:rPr>
              <w:t>。</w:t>
            </w:r>
            <w:bookmarkStart w:id="0" w:name="_GoBack"/>
            <w:bookmarkEnd w:id="0"/>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2</w:t>
            </w:r>
            <w:r>
              <w:rPr>
                <w:color w:val="333333"/>
              </w:rPr>
              <w:t>）管理成本：</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rFonts w:hint="eastAsia"/>
                <w:color w:val="333333"/>
              </w:rPr>
              <w:t>总经费</w:t>
            </w:r>
            <w:r>
              <w:rPr>
                <w:rFonts w:hint="eastAsia"/>
                <w:color w:val="333333"/>
              </w:rPr>
              <w:t>*5%</w:t>
            </w:r>
          </w:p>
        </w:tc>
      </w:tr>
      <w:tr w:rsidR="000103B4">
        <w:tc>
          <w:tcPr>
            <w:tcW w:w="2376"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rPr>
              <w:t>（</w:t>
            </w:r>
            <w:r>
              <w:rPr>
                <w:color w:val="333333"/>
              </w:rPr>
              <w:t>3</w:t>
            </w:r>
            <w:r>
              <w:rPr>
                <w:color w:val="333333"/>
              </w:rPr>
              <w:t>）</w:t>
            </w:r>
            <w:r>
              <w:rPr>
                <w:color w:val="333333"/>
              </w:rPr>
              <w:t xml:space="preserve"> </w:t>
            </w:r>
            <w:r>
              <w:rPr>
                <w:color w:val="333333"/>
              </w:rPr>
              <w:t>绩效支出：</w:t>
            </w:r>
          </w:p>
        </w:tc>
        <w:tc>
          <w:tcPr>
            <w:tcW w:w="6521" w:type="dxa"/>
            <w:vAlign w:val="center"/>
          </w:tcPr>
          <w:p w:rsidR="000103B4" w:rsidRDefault="00BB4339">
            <w:pPr>
              <w:pStyle w:val="a5"/>
              <w:shd w:val="clear" w:color="auto" w:fill="FFFFFF"/>
              <w:spacing w:before="225" w:beforeAutospacing="0" w:after="0" w:afterAutospacing="0" w:line="450" w:lineRule="atLeast"/>
              <w:rPr>
                <w:color w:val="333333"/>
              </w:rPr>
            </w:pPr>
            <w:r>
              <w:rPr>
                <w:color w:val="333333"/>
                <w:highlight w:val="yellow"/>
              </w:rPr>
              <w:t>人员费、劳务费、绩效支出的支出总额最高不超过该项目经费的</w:t>
            </w:r>
            <w:r>
              <w:rPr>
                <w:rFonts w:hint="eastAsia"/>
                <w:color w:val="333333"/>
                <w:highlight w:val="yellow"/>
              </w:rPr>
              <w:t>40%</w:t>
            </w:r>
            <w:r>
              <w:rPr>
                <w:color w:val="333333"/>
                <w:highlight w:val="yellow"/>
              </w:rPr>
              <w:t>；</w:t>
            </w:r>
            <w:r>
              <w:rPr>
                <w:color w:val="333333"/>
              </w:rPr>
              <w:t>软科学研究项目、社会科学研究项目和软件开发类项目支出总额最高不超过该项目经费的</w:t>
            </w:r>
            <w:r>
              <w:rPr>
                <w:rFonts w:hint="eastAsia"/>
                <w:color w:val="333333"/>
              </w:rPr>
              <w:t>60%</w:t>
            </w:r>
            <w:r>
              <w:rPr>
                <w:color w:val="333333"/>
              </w:rPr>
              <w:t>。</w:t>
            </w:r>
          </w:p>
        </w:tc>
      </w:tr>
    </w:tbl>
    <w:p w:rsidR="000103B4" w:rsidRDefault="000103B4">
      <w:pPr>
        <w:spacing w:line="360" w:lineRule="auto"/>
        <w:rPr>
          <w:color w:val="333333"/>
        </w:rPr>
      </w:pPr>
    </w:p>
    <w:p w:rsidR="000103B4" w:rsidRDefault="00BB4339">
      <w:pPr>
        <w:spacing w:line="360" w:lineRule="auto"/>
        <w:rPr>
          <w:color w:val="333333"/>
        </w:rPr>
      </w:pPr>
      <w:r>
        <w:rPr>
          <w:rFonts w:hint="eastAsia"/>
          <w:color w:val="333333"/>
        </w:rPr>
        <w:t>注：以上内容根据《关于进一步完善省级财政科研项目资金管理等政策的实施意见（试行）》</w:t>
      </w:r>
    </w:p>
    <w:p w:rsidR="000103B4" w:rsidRDefault="00BB4339">
      <w:pPr>
        <w:spacing w:line="360" w:lineRule="auto"/>
        <w:rPr>
          <w:color w:val="333333"/>
        </w:rPr>
      </w:pPr>
      <w:r>
        <w:rPr>
          <w:rFonts w:hint="eastAsia"/>
          <w:color w:val="333333"/>
        </w:rPr>
        <w:t>（粤委办〔</w:t>
      </w:r>
      <w:r>
        <w:rPr>
          <w:color w:val="333333"/>
        </w:rPr>
        <w:t>2017</w:t>
      </w:r>
      <w:r>
        <w:rPr>
          <w:rFonts w:hint="eastAsia"/>
          <w:color w:val="333333"/>
        </w:rPr>
        <w:t>〕</w:t>
      </w:r>
      <w:r>
        <w:rPr>
          <w:color w:val="333333"/>
        </w:rPr>
        <w:t>13</w:t>
      </w:r>
      <w:r>
        <w:rPr>
          <w:rFonts w:hint="eastAsia"/>
          <w:color w:val="333333"/>
        </w:rPr>
        <w:t>号）和《</w:t>
      </w:r>
      <w:r>
        <w:rPr>
          <w:rFonts w:hint="eastAsia"/>
          <w:color w:val="333333"/>
        </w:rPr>
        <w:t>&lt;</w:t>
      </w:r>
      <w:r>
        <w:rPr>
          <w:rFonts w:hint="eastAsia"/>
          <w:color w:val="333333"/>
        </w:rPr>
        <w:t>关于进一步完善省级财政科研项目资金管理等政策</w:t>
      </w:r>
    </w:p>
    <w:p w:rsidR="000103B4" w:rsidRDefault="00BB4339">
      <w:pPr>
        <w:spacing w:line="360" w:lineRule="auto"/>
        <w:rPr>
          <w:color w:val="333333"/>
        </w:rPr>
      </w:pPr>
      <w:r>
        <w:rPr>
          <w:rFonts w:hint="eastAsia"/>
          <w:color w:val="333333"/>
        </w:rPr>
        <w:t>的实施意见</w:t>
      </w:r>
      <w:r>
        <w:rPr>
          <w:color w:val="333333"/>
        </w:rPr>
        <w:t>(</w:t>
      </w:r>
      <w:r>
        <w:rPr>
          <w:rFonts w:hint="eastAsia"/>
          <w:color w:val="333333"/>
        </w:rPr>
        <w:t>试行</w:t>
      </w:r>
      <w:r>
        <w:rPr>
          <w:color w:val="333333"/>
        </w:rPr>
        <w:t>)</w:t>
      </w:r>
      <w:r>
        <w:rPr>
          <w:rFonts w:hint="eastAsia"/>
          <w:color w:val="333333"/>
        </w:rPr>
        <w:t>&gt;</w:t>
      </w:r>
      <w:r>
        <w:rPr>
          <w:rFonts w:hint="eastAsia"/>
          <w:color w:val="333333"/>
        </w:rPr>
        <w:t>政策解读》编制。</w:t>
      </w:r>
    </w:p>
    <w:p w:rsidR="000103B4" w:rsidRDefault="000103B4">
      <w:pPr>
        <w:pStyle w:val="a5"/>
        <w:shd w:val="clear" w:color="auto" w:fill="FFFFFF"/>
        <w:spacing w:before="225" w:beforeAutospacing="0" w:after="0" w:afterAutospacing="0" w:line="450" w:lineRule="atLeast"/>
        <w:rPr>
          <w:color w:val="333333"/>
        </w:rPr>
      </w:pPr>
    </w:p>
    <w:sectPr w:rsidR="000103B4" w:rsidSect="000103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339" w:rsidRDefault="00BB4339" w:rsidP="004E5308">
      <w:pPr>
        <w:ind w:firstLine="640"/>
      </w:pPr>
      <w:r>
        <w:separator/>
      </w:r>
    </w:p>
  </w:endnote>
  <w:endnote w:type="continuationSeparator" w:id="1">
    <w:p w:rsidR="00BB4339" w:rsidRDefault="00BB4339" w:rsidP="004E530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339" w:rsidRDefault="00BB4339" w:rsidP="004E5308">
      <w:pPr>
        <w:ind w:firstLine="640"/>
      </w:pPr>
      <w:r>
        <w:separator/>
      </w:r>
    </w:p>
  </w:footnote>
  <w:footnote w:type="continuationSeparator" w:id="1">
    <w:p w:rsidR="00BB4339" w:rsidRDefault="00BB4339" w:rsidP="004E5308">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D1225"/>
    <w:rsid w:val="000103B4"/>
    <w:rsid w:val="000529D1"/>
    <w:rsid w:val="00090920"/>
    <w:rsid w:val="000911F4"/>
    <w:rsid w:val="000A5528"/>
    <w:rsid w:val="000E45D1"/>
    <w:rsid w:val="001A648C"/>
    <w:rsid w:val="0022012D"/>
    <w:rsid w:val="002467E7"/>
    <w:rsid w:val="00252B14"/>
    <w:rsid w:val="00255A17"/>
    <w:rsid w:val="002E5D1C"/>
    <w:rsid w:val="002F57EA"/>
    <w:rsid w:val="00313F0B"/>
    <w:rsid w:val="00364AFE"/>
    <w:rsid w:val="003D5A83"/>
    <w:rsid w:val="003E582D"/>
    <w:rsid w:val="003E5C05"/>
    <w:rsid w:val="00425035"/>
    <w:rsid w:val="00436DCB"/>
    <w:rsid w:val="00483B6E"/>
    <w:rsid w:val="00486AB3"/>
    <w:rsid w:val="004E5308"/>
    <w:rsid w:val="005421A1"/>
    <w:rsid w:val="005444A8"/>
    <w:rsid w:val="00590E77"/>
    <w:rsid w:val="005D1225"/>
    <w:rsid w:val="00611C54"/>
    <w:rsid w:val="00612AF2"/>
    <w:rsid w:val="006B233D"/>
    <w:rsid w:val="006B7CB9"/>
    <w:rsid w:val="006C0613"/>
    <w:rsid w:val="006E5C61"/>
    <w:rsid w:val="00740404"/>
    <w:rsid w:val="00791ECC"/>
    <w:rsid w:val="007A7565"/>
    <w:rsid w:val="007D1083"/>
    <w:rsid w:val="00812981"/>
    <w:rsid w:val="00890EAF"/>
    <w:rsid w:val="00895566"/>
    <w:rsid w:val="008B76E7"/>
    <w:rsid w:val="00944E3A"/>
    <w:rsid w:val="009A3CC5"/>
    <w:rsid w:val="009B2A87"/>
    <w:rsid w:val="009B3ED4"/>
    <w:rsid w:val="00A20A00"/>
    <w:rsid w:val="00A313CA"/>
    <w:rsid w:val="00AA622B"/>
    <w:rsid w:val="00AA791A"/>
    <w:rsid w:val="00B10D8F"/>
    <w:rsid w:val="00B21F2E"/>
    <w:rsid w:val="00B3115F"/>
    <w:rsid w:val="00B31936"/>
    <w:rsid w:val="00B405AF"/>
    <w:rsid w:val="00B54E57"/>
    <w:rsid w:val="00B61FDF"/>
    <w:rsid w:val="00BB4339"/>
    <w:rsid w:val="00BB6A71"/>
    <w:rsid w:val="00BD4084"/>
    <w:rsid w:val="00C02406"/>
    <w:rsid w:val="00C513AC"/>
    <w:rsid w:val="00C52D1B"/>
    <w:rsid w:val="00CC39F6"/>
    <w:rsid w:val="00CC42D4"/>
    <w:rsid w:val="00CE7ECE"/>
    <w:rsid w:val="00D11238"/>
    <w:rsid w:val="00DA13B4"/>
    <w:rsid w:val="00DB34F2"/>
    <w:rsid w:val="00DE6A51"/>
    <w:rsid w:val="00E239E1"/>
    <w:rsid w:val="00E635BC"/>
    <w:rsid w:val="00EC63B5"/>
    <w:rsid w:val="00ED5123"/>
    <w:rsid w:val="00F07107"/>
    <w:rsid w:val="00FD1540"/>
    <w:rsid w:val="51E06242"/>
    <w:rsid w:val="636F5083"/>
    <w:rsid w:val="752D4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103B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103B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103B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0103B4"/>
    <w:pPr>
      <w:spacing w:before="240" w:after="60"/>
      <w:jc w:val="center"/>
      <w:outlineLvl w:val="0"/>
    </w:pPr>
    <w:rPr>
      <w:rFonts w:asciiTheme="majorHAnsi" w:eastAsia="宋体" w:hAnsiTheme="majorHAnsi" w:cstheme="majorBidi"/>
      <w:b/>
      <w:bCs/>
      <w:sz w:val="32"/>
      <w:szCs w:val="32"/>
    </w:rPr>
  </w:style>
  <w:style w:type="character" w:styleId="a7">
    <w:name w:val="Strong"/>
    <w:basedOn w:val="a0"/>
    <w:uiPriority w:val="22"/>
    <w:qFormat/>
    <w:rsid w:val="000103B4"/>
    <w:rPr>
      <w:b/>
    </w:rPr>
  </w:style>
  <w:style w:type="table" w:styleId="a8">
    <w:name w:val="Table Grid"/>
    <w:basedOn w:val="a1"/>
    <w:uiPriority w:val="59"/>
    <w:rsid w:val="00010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0103B4"/>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0103B4"/>
    <w:rPr>
      <w:rFonts w:asciiTheme="minorHAnsi" w:eastAsiaTheme="minorEastAsia" w:hAnsiTheme="minorHAnsi" w:cstheme="minorBidi"/>
      <w:kern w:val="2"/>
      <w:sz w:val="18"/>
      <w:szCs w:val="18"/>
    </w:rPr>
  </w:style>
  <w:style w:type="paragraph" w:customStyle="1" w:styleId="a9">
    <w:name w:val="文本标题"/>
    <w:basedOn w:val="a6"/>
    <w:link w:val="CharChar"/>
    <w:uiPriority w:val="99"/>
    <w:qFormat/>
    <w:rsid w:val="000103B4"/>
    <w:pPr>
      <w:widowControl/>
      <w:snapToGrid w:val="0"/>
      <w:spacing w:beforeLines="100" w:after="0" w:line="360" w:lineRule="auto"/>
      <w:outlineLvl w:val="9"/>
    </w:pPr>
    <w:rPr>
      <w:rFonts w:ascii="宋体" w:hAnsi="Calibri" w:cs="Times New Roman"/>
      <w:bCs w:val="0"/>
      <w:kern w:val="0"/>
      <w:sz w:val="44"/>
      <w:szCs w:val="20"/>
      <w:lang w:val="zh-CN"/>
    </w:rPr>
  </w:style>
  <w:style w:type="character" w:customStyle="1" w:styleId="CharChar">
    <w:name w:val="文本标题 Char Char"/>
    <w:link w:val="a9"/>
    <w:uiPriority w:val="99"/>
    <w:locked/>
    <w:rsid w:val="000103B4"/>
    <w:rPr>
      <w:rFonts w:ascii="宋体" w:hAnsi="Calibri"/>
      <w:b/>
      <w:sz w:val="44"/>
      <w:lang w:val="zh-CN"/>
    </w:rPr>
  </w:style>
  <w:style w:type="character" w:customStyle="1" w:styleId="Char1">
    <w:name w:val="标题 Char"/>
    <w:basedOn w:val="a0"/>
    <w:link w:val="a6"/>
    <w:uiPriority w:val="10"/>
    <w:qFormat/>
    <w:rsid w:val="000103B4"/>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2017-08-31T06:37:00Z</dcterms:created>
  <dcterms:modified xsi:type="dcterms:W3CDTF">2017-08-31T06:37:00Z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