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14D" w:rsidRPr="00E87D8D" w:rsidRDefault="00BF414D" w:rsidP="00495475">
      <w:pPr>
        <w:adjustRightInd w:val="0"/>
        <w:snapToGrid w:val="0"/>
        <w:spacing w:line="360" w:lineRule="auto"/>
        <w:jc w:val="center"/>
        <w:rPr>
          <w:rFonts w:ascii="宋体" w:hAnsi="宋体"/>
          <w:b/>
          <w:bCs/>
          <w:color w:val="000000"/>
          <w:sz w:val="36"/>
          <w:szCs w:val="36"/>
        </w:rPr>
      </w:pPr>
      <w:r w:rsidRPr="00E87D8D">
        <w:rPr>
          <w:rFonts w:ascii="宋体" w:hAnsi="宋体"/>
          <w:b/>
          <w:bCs/>
          <w:color w:val="000000"/>
          <w:sz w:val="36"/>
          <w:szCs w:val="36"/>
        </w:rPr>
        <w:t>广东药科大学科研项目结题结账与</w:t>
      </w:r>
    </w:p>
    <w:p w:rsidR="00BF414D" w:rsidRPr="00E87D8D" w:rsidRDefault="00BF414D" w:rsidP="00495475">
      <w:pPr>
        <w:adjustRightInd w:val="0"/>
        <w:snapToGrid w:val="0"/>
        <w:spacing w:line="360" w:lineRule="auto"/>
        <w:jc w:val="center"/>
        <w:rPr>
          <w:rFonts w:ascii="宋体" w:hAnsi="宋体"/>
          <w:b/>
          <w:bCs/>
          <w:color w:val="000000"/>
          <w:sz w:val="36"/>
          <w:szCs w:val="36"/>
        </w:rPr>
      </w:pPr>
      <w:r w:rsidRPr="00E87D8D">
        <w:rPr>
          <w:rFonts w:ascii="宋体" w:hAnsi="宋体"/>
          <w:b/>
          <w:bCs/>
          <w:color w:val="000000"/>
          <w:sz w:val="36"/>
          <w:szCs w:val="36"/>
        </w:rPr>
        <w:t>结余经费管理</w:t>
      </w:r>
      <w:r w:rsidR="00E735A4" w:rsidRPr="00E87D8D">
        <w:rPr>
          <w:rFonts w:ascii="宋体" w:hAnsi="宋体"/>
          <w:b/>
          <w:bCs/>
          <w:color w:val="000000"/>
          <w:sz w:val="36"/>
          <w:szCs w:val="36"/>
        </w:rPr>
        <w:t>办法</w:t>
      </w:r>
    </w:p>
    <w:p w:rsidR="00BF414D" w:rsidRPr="00964A13" w:rsidRDefault="0082466C" w:rsidP="00495475">
      <w:pPr>
        <w:adjustRightInd w:val="0"/>
        <w:snapToGrid w:val="0"/>
        <w:spacing w:line="360" w:lineRule="auto"/>
        <w:jc w:val="center"/>
        <w:rPr>
          <w:rFonts w:eastAsia="楷体"/>
          <w:b/>
          <w:bCs/>
          <w:color w:val="000000"/>
          <w:kern w:val="0"/>
          <w:sz w:val="32"/>
          <w:szCs w:val="32"/>
        </w:rPr>
      </w:pPr>
      <w:r w:rsidRPr="00964A13">
        <w:rPr>
          <w:rFonts w:eastAsia="楷体"/>
          <w:b/>
          <w:bCs/>
          <w:color w:val="000000"/>
          <w:kern w:val="0"/>
          <w:sz w:val="32"/>
          <w:szCs w:val="32"/>
        </w:rPr>
        <w:t>（送审稿）</w:t>
      </w:r>
    </w:p>
    <w:p w:rsidR="00FC1109" w:rsidRPr="002F78CC" w:rsidRDefault="00FC1109" w:rsidP="006C7BB0">
      <w:pPr>
        <w:widowControl/>
        <w:adjustRightInd w:val="0"/>
        <w:snapToGrid w:val="0"/>
        <w:spacing w:beforeLines="50" w:before="159" w:afterLines="50" w:after="159" w:line="360" w:lineRule="auto"/>
        <w:jc w:val="center"/>
        <w:rPr>
          <w:b/>
          <w:color w:val="000000"/>
          <w:kern w:val="0"/>
          <w:sz w:val="28"/>
          <w:szCs w:val="28"/>
        </w:rPr>
      </w:pPr>
      <w:r w:rsidRPr="002F78CC">
        <w:rPr>
          <w:b/>
          <w:color w:val="000000"/>
          <w:kern w:val="0"/>
          <w:sz w:val="28"/>
          <w:szCs w:val="28"/>
        </w:rPr>
        <w:t>第一章</w:t>
      </w:r>
      <w:r w:rsidRPr="002F78CC">
        <w:rPr>
          <w:b/>
          <w:color w:val="000000"/>
          <w:kern w:val="0"/>
          <w:sz w:val="28"/>
          <w:szCs w:val="28"/>
        </w:rPr>
        <w:t xml:space="preserve">  </w:t>
      </w:r>
      <w:r w:rsidRPr="002F78CC">
        <w:rPr>
          <w:b/>
          <w:color w:val="000000"/>
          <w:kern w:val="0"/>
          <w:sz w:val="28"/>
          <w:szCs w:val="28"/>
        </w:rPr>
        <w:t>总</w:t>
      </w:r>
      <w:r w:rsidRPr="002F78CC">
        <w:rPr>
          <w:b/>
          <w:color w:val="000000"/>
          <w:kern w:val="0"/>
          <w:sz w:val="28"/>
          <w:szCs w:val="28"/>
        </w:rPr>
        <w:t xml:space="preserve"> </w:t>
      </w:r>
      <w:r w:rsidRPr="002F78CC">
        <w:rPr>
          <w:b/>
          <w:color w:val="000000"/>
          <w:kern w:val="0"/>
          <w:sz w:val="28"/>
          <w:szCs w:val="28"/>
        </w:rPr>
        <w:t>则</w:t>
      </w:r>
    </w:p>
    <w:p w:rsidR="00BF414D" w:rsidRPr="002F78CC" w:rsidRDefault="00BF414D" w:rsidP="006C7BB0">
      <w:pPr>
        <w:adjustRightInd w:val="0"/>
        <w:snapToGrid w:val="0"/>
        <w:spacing w:before="120" w:line="360" w:lineRule="auto"/>
        <w:ind w:firstLine="560"/>
        <w:rPr>
          <w:color w:val="000000"/>
          <w:sz w:val="24"/>
        </w:rPr>
      </w:pPr>
      <w:r w:rsidRPr="002F78CC">
        <w:rPr>
          <w:b/>
          <w:kern w:val="0"/>
          <w:sz w:val="24"/>
        </w:rPr>
        <w:t>第一条</w:t>
      </w:r>
      <w:r w:rsidRPr="002F78CC">
        <w:rPr>
          <w:color w:val="000000"/>
          <w:sz w:val="24"/>
        </w:rPr>
        <w:t xml:space="preserve">  </w:t>
      </w:r>
      <w:r w:rsidRPr="002F78CC">
        <w:rPr>
          <w:color w:val="000000"/>
          <w:sz w:val="24"/>
        </w:rPr>
        <w:t>为进一步规范学校科研项目结题结账与结余经费管理等具体问题，根据国家有关科技经费管理办法和《广东药科大学纵向科研项目管理办法》、《广东药科大学横向科研项目管理办法》等规定，特制定本实施细则。</w:t>
      </w:r>
    </w:p>
    <w:p w:rsidR="00BF414D" w:rsidRPr="002F78CC" w:rsidRDefault="00BF414D" w:rsidP="006C7BB0">
      <w:pPr>
        <w:adjustRightInd w:val="0"/>
        <w:snapToGrid w:val="0"/>
        <w:spacing w:line="360" w:lineRule="auto"/>
        <w:ind w:firstLine="560"/>
        <w:rPr>
          <w:color w:val="000000"/>
          <w:sz w:val="24"/>
        </w:rPr>
      </w:pPr>
      <w:r w:rsidRPr="002F78CC">
        <w:rPr>
          <w:b/>
          <w:kern w:val="0"/>
          <w:sz w:val="24"/>
        </w:rPr>
        <w:t>第二条</w:t>
      </w:r>
      <w:r w:rsidRPr="002F78CC">
        <w:rPr>
          <w:color w:val="000000"/>
          <w:sz w:val="24"/>
        </w:rPr>
        <w:t xml:space="preserve">  </w:t>
      </w:r>
      <w:r w:rsidRPr="002F78CC">
        <w:rPr>
          <w:color w:val="000000"/>
          <w:sz w:val="24"/>
        </w:rPr>
        <w:t>结余经费是指学校科研项目结题后的剩余资金，包括纵向科研项目结余资金和横向科研项目结余资金。</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预研基金是指相关管理办法或合同、任务书、协议等对科研项目结余经费管理明确规定结余经费可在一定期限内由学校统筹安排的纵向项目通过结题验收后结余结转的资金。</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发展基金是指相关管理办法或合同、任务书、协议等对科研项目结余经费管理没有明确规定结余经费使用期限的纵、横向项目通过结题验收后结余结转的资金。</w:t>
      </w:r>
    </w:p>
    <w:p w:rsidR="00FC1109" w:rsidRPr="002F78CC" w:rsidRDefault="00FC1109" w:rsidP="006C7BB0">
      <w:pPr>
        <w:widowControl/>
        <w:adjustRightInd w:val="0"/>
        <w:snapToGrid w:val="0"/>
        <w:spacing w:beforeLines="50" w:before="159" w:afterLines="50" w:after="159" w:line="360" w:lineRule="auto"/>
        <w:jc w:val="center"/>
        <w:rPr>
          <w:b/>
          <w:color w:val="000000"/>
          <w:kern w:val="0"/>
          <w:sz w:val="28"/>
          <w:szCs w:val="28"/>
        </w:rPr>
      </w:pPr>
      <w:r w:rsidRPr="002F78CC">
        <w:rPr>
          <w:b/>
          <w:color w:val="000000"/>
          <w:kern w:val="0"/>
          <w:sz w:val="28"/>
          <w:szCs w:val="28"/>
        </w:rPr>
        <w:t>第二章</w:t>
      </w:r>
      <w:r w:rsidRPr="002F78CC">
        <w:rPr>
          <w:b/>
          <w:color w:val="000000"/>
          <w:kern w:val="0"/>
          <w:sz w:val="28"/>
          <w:szCs w:val="28"/>
        </w:rPr>
        <w:t xml:space="preserve">  </w:t>
      </w:r>
      <w:r w:rsidRPr="002F78CC">
        <w:rPr>
          <w:b/>
          <w:color w:val="000000"/>
          <w:kern w:val="0"/>
          <w:sz w:val="28"/>
          <w:szCs w:val="28"/>
        </w:rPr>
        <w:t>职责权限</w:t>
      </w:r>
      <w:r w:rsidR="00280BCF" w:rsidRPr="002F78CC">
        <w:rPr>
          <w:b/>
          <w:color w:val="000000"/>
          <w:kern w:val="0"/>
          <w:sz w:val="28"/>
          <w:szCs w:val="28"/>
        </w:rPr>
        <w:t>与管理体制</w:t>
      </w:r>
    </w:p>
    <w:p w:rsidR="00FC1109" w:rsidRPr="002F78CC" w:rsidRDefault="00FC1109" w:rsidP="006C7BB0">
      <w:pPr>
        <w:adjustRightInd w:val="0"/>
        <w:snapToGrid w:val="0"/>
        <w:spacing w:line="360" w:lineRule="auto"/>
        <w:ind w:firstLineChars="200" w:firstLine="482"/>
        <w:rPr>
          <w:color w:val="000000"/>
          <w:sz w:val="24"/>
        </w:rPr>
      </w:pPr>
      <w:r w:rsidRPr="002F78CC">
        <w:rPr>
          <w:b/>
          <w:kern w:val="0"/>
          <w:sz w:val="24"/>
        </w:rPr>
        <w:t>第三条</w:t>
      </w:r>
      <w:r w:rsidRPr="002F78CC">
        <w:rPr>
          <w:color w:val="000000"/>
          <w:sz w:val="24"/>
        </w:rPr>
        <w:t xml:space="preserve">  </w:t>
      </w:r>
      <w:r w:rsidRPr="002F78CC">
        <w:rPr>
          <w:color w:val="000000"/>
          <w:sz w:val="24"/>
        </w:rPr>
        <w:t>结余经费管理按照</w:t>
      </w:r>
      <w:r w:rsidRPr="002F78CC">
        <w:rPr>
          <w:color w:val="000000"/>
          <w:sz w:val="24"/>
        </w:rPr>
        <w:t>“</w:t>
      </w:r>
      <w:r w:rsidRPr="002F78CC">
        <w:rPr>
          <w:color w:val="000000"/>
          <w:sz w:val="24"/>
        </w:rPr>
        <w:t>学校统筹、项目负责人申请</w:t>
      </w:r>
      <w:r w:rsidRPr="002F78CC">
        <w:rPr>
          <w:color w:val="000000"/>
          <w:sz w:val="24"/>
        </w:rPr>
        <w:t>”</w:t>
      </w:r>
      <w:r w:rsidRPr="002F78CC">
        <w:rPr>
          <w:color w:val="000000"/>
          <w:sz w:val="24"/>
        </w:rPr>
        <w:t>的原则实施，具体申请立项程序按科技处相关规定执行。</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第四条</w:t>
      </w:r>
      <w:r w:rsidRPr="002F78CC">
        <w:rPr>
          <w:color w:val="000000"/>
          <w:sz w:val="24"/>
        </w:rPr>
        <w:t xml:space="preserve">  </w:t>
      </w:r>
      <w:r w:rsidRPr="002F78CC">
        <w:rPr>
          <w:color w:val="000000"/>
          <w:sz w:val="24"/>
        </w:rPr>
        <w:t>学校</w:t>
      </w:r>
      <w:r w:rsidR="006C7BB0" w:rsidRPr="002F78CC">
        <w:rPr>
          <w:color w:val="000000"/>
          <w:sz w:val="24"/>
        </w:rPr>
        <w:t>二级单位</w:t>
      </w:r>
      <w:r w:rsidRPr="002F78CC">
        <w:rPr>
          <w:color w:val="000000"/>
          <w:sz w:val="24"/>
        </w:rPr>
        <w:t>及项目负责人应各司其职，加强协同，共同做好科研项目结题结账及结余经费管理工作，具体职责如下：</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（一）科技处作为学校科研工作主管部门，负责科研项目结题及后续相关事项管理；</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（二）财务处负责科研项目结账和结余经费核算管理；</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（三）审计处负责对科研项目结题结账及结余经费的使用和管理进行不定期审计或专项审计；</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（四）各</w:t>
      </w:r>
      <w:r w:rsidR="00964A13" w:rsidRPr="002F78CC">
        <w:rPr>
          <w:rFonts w:hint="eastAsia"/>
          <w:color w:val="000000"/>
          <w:sz w:val="24"/>
        </w:rPr>
        <w:t>二级单位</w:t>
      </w:r>
      <w:r w:rsidRPr="002F78CC">
        <w:rPr>
          <w:color w:val="000000"/>
          <w:sz w:val="24"/>
        </w:rPr>
        <w:t>对本单位科研项目结题结账以及结余经费统筹后立项项目的具</w:t>
      </w:r>
      <w:r w:rsidRPr="002F78CC">
        <w:rPr>
          <w:color w:val="000000"/>
          <w:sz w:val="24"/>
        </w:rPr>
        <w:lastRenderedPageBreak/>
        <w:t>体管理。</w:t>
      </w:r>
    </w:p>
    <w:p w:rsidR="00BF414D" w:rsidRPr="002F78CC" w:rsidRDefault="00BF414D" w:rsidP="006C7BB0">
      <w:pPr>
        <w:adjustRightInd w:val="0"/>
        <w:snapToGrid w:val="0"/>
        <w:spacing w:line="360" w:lineRule="auto"/>
        <w:ind w:firstLineChars="200" w:firstLine="480"/>
        <w:rPr>
          <w:color w:val="000000"/>
          <w:sz w:val="24"/>
        </w:rPr>
      </w:pPr>
      <w:r w:rsidRPr="002F78CC">
        <w:rPr>
          <w:color w:val="000000"/>
          <w:sz w:val="24"/>
        </w:rPr>
        <w:t>（五）项目负责人在项目结题验收后，按要求提供相关资料，及时办理结账。按照本办法规定申请并使用结余资金，对经费使用的真实性、合法性和有效性承担相应经济和法律责任。</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第五条</w:t>
      </w:r>
      <w:r w:rsidRPr="002F78CC">
        <w:rPr>
          <w:color w:val="000000"/>
          <w:sz w:val="24"/>
        </w:rPr>
        <w:t xml:space="preserve">  </w:t>
      </w:r>
      <w:r w:rsidRPr="002F78CC">
        <w:rPr>
          <w:color w:val="000000"/>
          <w:sz w:val="24"/>
        </w:rPr>
        <w:t>各类科研项目必须严格遵照合同、任务书或协议等要求按时结题验收。因特殊情况需推迟的，须经委托方或任务下达单位同意后方可执行。</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第六条</w:t>
      </w:r>
      <w:r w:rsidRPr="002F78CC">
        <w:rPr>
          <w:color w:val="000000"/>
          <w:sz w:val="24"/>
        </w:rPr>
        <w:t xml:space="preserve">  </w:t>
      </w:r>
      <w:r w:rsidRPr="002F78CC">
        <w:rPr>
          <w:color w:val="000000"/>
          <w:sz w:val="24"/>
        </w:rPr>
        <w:t>对应结题的科研项目，项目负责人应全面清理项目经费收支及应收应付等往来账款。应收及暂付款须在结题验收前完成报销或归还等结算手续。</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第七条</w:t>
      </w:r>
      <w:r w:rsidRPr="002F78CC">
        <w:rPr>
          <w:color w:val="000000"/>
          <w:sz w:val="24"/>
        </w:rPr>
        <w:t xml:space="preserve">  </w:t>
      </w:r>
      <w:r w:rsidRPr="002F78CC">
        <w:rPr>
          <w:color w:val="000000"/>
          <w:sz w:val="24"/>
        </w:rPr>
        <w:t>项目负责人应当按照科研项目结题要求，对照合同、任务书或协议，如实编报经费决算及任务执行情况等验收资料，完成结题。</w:t>
      </w:r>
    </w:p>
    <w:p w:rsidR="00FC1109" w:rsidRPr="002F78CC" w:rsidRDefault="00BF414D" w:rsidP="006C7BB0">
      <w:pPr>
        <w:adjustRightInd w:val="0"/>
        <w:snapToGrid w:val="0"/>
        <w:spacing w:line="360" w:lineRule="auto"/>
        <w:ind w:firstLineChars="200" w:firstLine="482"/>
        <w:rPr>
          <w:color w:val="000000"/>
          <w:sz w:val="24"/>
        </w:rPr>
      </w:pPr>
      <w:r w:rsidRPr="002F78CC">
        <w:rPr>
          <w:b/>
          <w:kern w:val="0"/>
          <w:sz w:val="24"/>
        </w:rPr>
        <w:t>第八条</w:t>
      </w:r>
      <w:r w:rsidRPr="002F78CC">
        <w:rPr>
          <w:color w:val="000000"/>
          <w:sz w:val="24"/>
        </w:rPr>
        <w:t xml:space="preserve">  </w:t>
      </w:r>
      <w:r w:rsidRPr="002F78CC">
        <w:rPr>
          <w:color w:val="000000"/>
          <w:sz w:val="24"/>
        </w:rPr>
        <w:t>科研项目结题后，项目负责人应及时向科技处提交相关资料。原则上，科技处每</w:t>
      </w:r>
      <w:r w:rsidR="00964A13" w:rsidRPr="002F78CC">
        <w:rPr>
          <w:rFonts w:hint="eastAsia"/>
          <w:color w:val="000000"/>
          <w:sz w:val="24"/>
        </w:rPr>
        <w:t>年</w:t>
      </w:r>
      <w:r w:rsidRPr="002F78CC">
        <w:rPr>
          <w:color w:val="000000"/>
          <w:sz w:val="24"/>
        </w:rPr>
        <w:t>度梳理并通知财务处科研项目结题相关信息。财务处为该类结题项目办理结账手续，避免长期挂账。</w:t>
      </w:r>
    </w:p>
    <w:p w:rsidR="009444CD" w:rsidRPr="002F78CC" w:rsidRDefault="00BF414D" w:rsidP="006C7BB0">
      <w:pPr>
        <w:adjustRightInd w:val="0"/>
        <w:snapToGrid w:val="0"/>
        <w:spacing w:line="360" w:lineRule="auto"/>
        <w:ind w:firstLineChars="200" w:firstLine="482"/>
        <w:rPr>
          <w:color w:val="000000"/>
          <w:sz w:val="24"/>
        </w:rPr>
      </w:pPr>
      <w:r w:rsidRPr="002F78CC">
        <w:rPr>
          <w:b/>
          <w:kern w:val="0"/>
          <w:sz w:val="24"/>
        </w:rPr>
        <w:t>第九条</w:t>
      </w:r>
      <w:r w:rsidRPr="002F78CC">
        <w:rPr>
          <w:b/>
          <w:kern w:val="0"/>
          <w:sz w:val="24"/>
        </w:rPr>
        <w:t xml:space="preserve"> </w:t>
      </w:r>
      <w:r w:rsidRPr="002F78CC">
        <w:rPr>
          <w:color w:val="000000"/>
          <w:sz w:val="24"/>
        </w:rPr>
        <w:t xml:space="preserve"> </w:t>
      </w:r>
      <w:r w:rsidRPr="002F78CC">
        <w:rPr>
          <w:color w:val="000000"/>
          <w:sz w:val="24"/>
        </w:rPr>
        <w:t>相关管理办法或合同、任务书、协议等对科研项目结余经费要求结余经费原渠道退回的，或因项目未通过验收和整改后通过验收等原因结余经费需按原渠道收回的，项目负责人应根据委托方或任务下达单位的验收意见，及时、足额按原渠道返还结余经费。</w:t>
      </w:r>
    </w:p>
    <w:p w:rsidR="00BF414D" w:rsidRPr="002F78CC" w:rsidRDefault="009444CD" w:rsidP="006C7BB0">
      <w:pPr>
        <w:widowControl/>
        <w:adjustRightInd w:val="0"/>
        <w:snapToGrid w:val="0"/>
        <w:spacing w:beforeLines="50" w:before="159" w:afterLines="50" w:after="159" w:line="360" w:lineRule="auto"/>
        <w:jc w:val="center"/>
        <w:rPr>
          <w:b/>
          <w:color w:val="000000"/>
          <w:kern w:val="0"/>
          <w:sz w:val="28"/>
          <w:szCs w:val="28"/>
        </w:rPr>
      </w:pPr>
      <w:r w:rsidRPr="002F78CC">
        <w:rPr>
          <w:b/>
          <w:color w:val="000000"/>
          <w:kern w:val="0"/>
          <w:sz w:val="28"/>
          <w:szCs w:val="28"/>
        </w:rPr>
        <w:t>第三章</w:t>
      </w:r>
      <w:r w:rsidRPr="002F78CC">
        <w:rPr>
          <w:b/>
          <w:color w:val="000000"/>
          <w:kern w:val="0"/>
          <w:sz w:val="28"/>
          <w:szCs w:val="28"/>
        </w:rPr>
        <w:t xml:space="preserve"> </w:t>
      </w:r>
      <w:r w:rsidRPr="002F78CC">
        <w:rPr>
          <w:b/>
          <w:color w:val="000000"/>
          <w:kern w:val="0"/>
          <w:sz w:val="28"/>
          <w:szCs w:val="28"/>
        </w:rPr>
        <w:t>预研基金管理</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第十条</w:t>
      </w:r>
      <w:r w:rsidRPr="002F78CC">
        <w:rPr>
          <w:color w:val="000000"/>
          <w:sz w:val="24"/>
        </w:rPr>
        <w:t xml:space="preserve">  </w:t>
      </w:r>
      <w:r w:rsidRPr="002F78CC">
        <w:rPr>
          <w:color w:val="000000"/>
          <w:sz w:val="24"/>
        </w:rPr>
        <w:t>相关管理办法或合同、任务书、协议等对科研项目结余经费管理明确规定结余经费可在一定期限内由承担</w:t>
      </w:r>
      <w:r w:rsidR="00B01D53" w:rsidRPr="002F78CC">
        <w:rPr>
          <w:color w:val="000000"/>
          <w:sz w:val="24"/>
        </w:rPr>
        <w:t>单位</w:t>
      </w:r>
      <w:r w:rsidRPr="002F78CC">
        <w:rPr>
          <w:color w:val="000000"/>
          <w:sz w:val="24"/>
        </w:rPr>
        <w:t>统筹安排的，学校统筹安排用于科研活动的直接支出，按以下规定执行。</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（一）科技处按照各类科研项目的类别及项目结题时间，对结余经费进行分类、分批管理，及时发布结题信息，通知相关部门和项目负责人。</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（二）财务处负责根据科技处提供的相关材料，统一将结余经费收归学校，结转为科研预研基金。纵向项目结余经费转成科研预研基金的执行年限原则上为</w:t>
      </w:r>
      <w:r w:rsidRPr="002F78CC">
        <w:rPr>
          <w:color w:val="000000"/>
          <w:sz w:val="24"/>
        </w:rPr>
        <w:t>2</w:t>
      </w:r>
      <w:r w:rsidRPr="002F78CC">
        <w:rPr>
          <w:color w:val="000000"/>
          <w:sz w:val="24"/>
        </w:rPr>
        <w:t>年（自验收结论下达后的第二年</w:t>
      </w:r>
      <w:r w:rsidRPr="002F78CC">
        <w:rPr>
          <w:color w:val="000000"/>
          <w:sz w:val="24"/>
        </w:rPr>
        <w:t>1</w:t>
      </w:r>
      <w:r w:rsidRPr="002F78CC">
        <w:rPr>
          <w:color w:val="000000"/>
          <w:sz w:val="24"/>
        </w:rPr>
        <w:t>月</w:t>
      </w:r>
      <w:r w:rsidRPr="002F78CC">
        <w:rPr>
          <w:color w:val="000000"/>
          <w:sz w:val="24"/>
        </w:rPr>
        <w:t>1</w:t>
      </w:r>
      <w:r w:rsidRPr="002F78CC">
        <w:rPr>
          <w:color w:val="000000"/>
          <w:sz w:val="24"/>
        </w:rPr>
        <w:t>日起计算），横向项目结余经费转成科研发展基金后的执行年限不做要求。</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lastRenderedPageBreak/>
        <w:t>（三）项目负责人在规定时间内，按新项目立项的相关要求向科技处提出结余经费使用申请，并提交预算表。科技处负责项目立项、财务处负责经费划拨、建卡。</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（四）为提高结余资金使用效率，学校对执行到期的纵向项目科研发展基金的结余资金全部收归学校使用，不再统筹安排。</w:t>
      </w:r>
    </w:p>
    <w:p w:rsidR="000D4FD1" w:rsidRPr="002F78CC" w:rsidRDefault="00B906D3" w:rsidP="006C7BB0">
      <w:pPr>
        <w:adjustRightInd w:val="0"/>
        <w:snapToGrid w:val="0"/>
        <w:spacing w:line="360" w:lineRule="auto"/>
        <w:ind w:firstLineChars="150" w:firstLine="361"/>
        <w:rPr>
          <w:color w:val="000000"/>
          <w:sz w:val="24"/>
        </w:rPr>
      </w:pPr>
      <w:r w:rsidRPr="002F78CC">
        <w:rPr>
          <w:b/>
          <w:kern w:val="0"/>
          <w:sz w:val="24"/>
        </w:rPr>
        <w:t>第十</w:t>
      </w:r>
      <w:r w:rsidR="008476C2" w:rsidRPr="002F78CC">
        <w:rPr>
          <w:b/>
          <w:kern w:val="0"/>
          <w:sz w:val="24"/>
        </w:rPr>
        <w:t>一</w:t>
      </w:r>
      <w:r w:rsidRPr="002F78CC">
        <w:rPr>
          <w:b/>
          <w:kern w:val="0"/>
          <w:sz w:val="24"/>
        </w:rPr>
        <w:t>条</w:t>
      </w:r>
      <w:r w:rsidRPr="002F78CC">
        <w:rPr>
          <w:b/>
          <w:kern w:val="0"/>
          <w:sz w:val="24"/>
        </w:rPr>
        <w:t xml:space="preserve"> </w:t>
      </w:r>
      <w:r w:rsidR="000D4FD1" w:rsidRPr="002F78CC">
        <w:rPr>
          <w:color w:val="000000"/>
          <w:sz w:val="24"/>
        </w:rPr>
        <w:t>科研预研基金：学校免管理费，劳务费支出总数不超过</w:t>
      </w:r>
      <w:r w:rsidR="0003551A" w:rsidRPr="002F78CC">
        <w:rPr>
          <w:rFonts w:hint="eastAsia"/>
          <w:color w:val="000000"/>
          <w:sz w:val="24"/>
        </w:rPr>
        <w:t>4</w:t>
      </w:r>
      <w:r w:rsidR="000D4FD1" w:rsidRPr="002F78CC">
        <w:rPr>
          <w:color w:val="000000"/>
          <w:sz w:val="24"/>
        </w:rPr>
        <w:t>0%</w:t>
      </w:r>
      <w:r w:rsidR="000D4FD1" w:rsidRPr="002F78CC">
        <w:rPr>
          <w:color w:val="000000"/>
          <w:sz w:val="24"/>
        </w:rPr>
        <w:t>，科研基金不低于</w:t>
      </w:r>
      <w:r w:rsidR="0003551A" w:rsidRPr="002F78CC">
        <w:rPr>
          <w:rFonts w:hint="eastAsia"/>
          <w:color w:val="000000"/>
          <w:sz w:val="24"/>
        </w:rPr>
        <w:t>6</w:t>
      </w:r>
      <w:r w:rsidR="000D4FD1" w:rsidRPr="002F78CC">
        <w:rPr>
          <w:color w:val="000000"/>
          <w:sz w:val="24"/>
        </w:rPr>
        <w:t>0%</w:t>
      </w:r>
      <w:r w:rsidR="000D4FD1" w:rsidRPr="002F78CC">
        <w:rPr>
          <w:color w:val="000000"/>
          <w:sz w:val="24"/>
        </w:rPr>
        <w:t>。</w:t>
      </w:r>
    </w:p>
    <w:p w:rsidR="009444CD" w:rsidRPr="002F78CC" w:rsidRDefault="009444CD" w:rsidP="006C7BB0">
      <w:pPr>
        <w:widowControl/>
        <w:adjustRightInd w:val="0"/>
        <w:snapToGrid w:val="0"/>
        <w:spacing w:beforeLines="50" w:before="159" w:afterLines="50" w:after="159" w:line="360" w:lineRule="auto"/>
        <w:jc w:val="center"/>
        <w:rPr>
          <w:b/>
          <w:color w:val="000000"/>
          <w:kern w:val="0"/>
          <w:sz w:val="28"/>
          <w:szCs w:val="28"/>
        </w:rPr>
      </w:pPr>
      <w:r w:rsidRPr="002F78CC">
        <w:rPr>
          <w:b/>
          <w:color w:val="000000"/>
          <w:kern w:val="0"/>
          <w:sz w:val="28"/>
          <w:szCs w:val="28"/>
        </w:rPr>
        <w:t>第四章</w:t>
      </w:r>
      <w:r w:rsidRPr="002F78CC">
        <w:rPr>
          <w:b/>
          <w:color w:val="000000"/>
          <w:kern w:val="0"/>
          <w:sz w:val="28"/>
          <w:szCs w:val="28"/>
        </w:rPr>
        <w:t xml:space="preserve"> </w:t>
      </w:r>
      <w:r w:rsidRPr="002F78CC">
        <w:rPr>
          <w:b/>
          <w:color w:val="000000"/>
          <w:kern w:val="0"/>
          <w:sz w:val="28"/>
          <w:szCs w:val="28"/>
        </w:rPr>
        <w:t>发展基金管理</w:t>
      </w:r>
    </w:p>
    <w:p w:rsidR="00BF414D" w:rsidRPr="002F78CC" w:rsidRDefault="00BF414D" w:rsidP="006C7BB0">
      <w:pPr>
        <w:adjustRightInd w:val="0"/>
        <w:snapToGrid w:val="0"/>
        <w:spacing w:line="360" w:lineRule="auto"/>
        <w:ind w:firstLineChars="200" w:firstLine="482"/>
        <w:rPr>
          <w:color w:val="000000"/>
          <w:sz w:val="24"/>
        </w:rPr>
      </w:pPr>
      <w:r w:rsidRPr="002F78CC">
        <w:rPr>
          <w:b/>
          <w:kern w:val="0"/>
          <w:sz w:val="24"/>
        </w:rPr>
        <w:t>第十</w:t>
      </w:r>
      <w:r w:rsidR="008E455B" w:rsidRPr="002F78CC">
        <w:rPr>
          <w:b/>
          <w:kern w:val="0"/>
          <w:sz w:val="24"/>
        </w:rPr>
        <w:t>二</w:t>
      </w:r>
      <w:r w:rsidRPr="002F78CC">
        <w:rPr>
          <w:b/>
          <w:kern w:val="0"/>
          <w:sz w:val="24"/>
        </w:rPr>
        <w:t>条</w:t>
      </w:r>
      <w:r w:rsidRPr="002F78CC">
        <w:rPr>
          <w:color w:val="000000"/>
          <w:sz w:val="24"/>
        </w:rPr>
        <w:t xml:space="preserve">  </w:t>
      </w:r>
      <w:r w:rsidRPr="002F78CC">
        <w:rPr>
          <w:color w:val="000000"/>
          <w:sz w:val="24"/>
        </w:rPr>
        <w:t>相关管理办法或合同、任务书、协议等对科研项目结余经费管理没有明确规定结余资金使用期限的，按以下规定执行。</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（一）科技处按照各类科研项目的类别及项目结题时间，对结余经费进行分类、分批管理，及时发布结题信息，通知相关部门和项目负责人。</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（二）财务处负责根据科技处提供的相关材料，统一将结余经费收归学校，结转为科研发展基金。转成科研发展基金后的执行年限不做要求。</w:t>
      </w:r>
    </w:p>
    <w:p w:rsidR="00BF414D" w:rsidRPr="002F78CC" w:rsidRDefault="00BF414D" w:rsidP="006C7BB0">
      <w:pPr>
        <w:adjustRightInd w:val="0"/>
        <w:snapToGrid w:val="0"/>
        <w:spacing w:line="360" w:lineRule="auto"/>
        <w:ind w:firstLineChars="150" w:firstLine="360"/>
        <w:rPr>
          <w:color w:val="000000"/>
          <w:sz w:val="24"/>
        </w:rPr>
      </w:pPr>
      <w:r w:rsidRPr="002F78CC">
        <w:rPr>
          <w:color w:val="000000"/>
          <w:sz w:val="24"/>
        </w:rPr>
        <w:t>（三）项目负责人在规定时间内，按新项目立项的相关要求向科技处提出结余经费使用申请，并提交预算表。科技处负责项目立项、财务处负责经费划拨、建卡。</w:t>
      </w:r>
    </w:p>
    <w:p w:rsidR="00D55E86" w:rsidRPr="002F78CC" w:rsidRDefault="00D55E86" w:rsidP="00D55E86">
      <w:pPr>
        <w:widowControl/>
        <w:adjustRightInd w:val="0"/>
        <w:snapToGrid w:val="0"/>
        <w:spacing w:beforeLines="50" w:before="159" w:afterLines="50" w:after="159" w:line="360" w:lineRule="auto"/>
        <w:jc w:val="left"/>
        <w:rPr>
          <w:kern w:val="0"/>
          <w:sz w:val="24"/>
        </w:rPr>
      </w:pPr>
      <w:r w:rsidRPr="002F78CC">
        <w:rPr>
          <w:rFonts w:hint="eastAsia"/>
          <w:b/>
          <w:kern w:val="0"/>
          <w:sz w:val="24"/>
        </w:rPr>
        <w:t xml:space="preserve">    </w:t>
      </w:r>
      <w:r w:rsidRPr="002F78CC">
        <w:rPr>
          <w:b/>
          <w:kern w:val="0"/>
          <w:sz w:val="24"/>
        </w:rPr>
        <w:t>第十</w:t>
      </w:r>
      <w:r w:rsidRPr="002F78CC">
        <w:rPr>
          <w:rFonts w:hint="eastAsia"/>
          <w:b/>
          <w:kern w:val="0"/>
          <w:sz w:val="24"/>
        </w:rPr>
        <w:t>三</w:t>
      </w:r>
      <w:r w:rsidRPr="002F78CC">
        <w:rPr>
          <w:b/>
          <w:kern w:val="0"/>
          <w:sz w:val="24"/>
        </w:rPr>
        <w:t>条</w:t>
      </w:r>
      <w:r w:rsidRPr="002F78CC">
        <w:rPr>
          <w:rFonts w:hint="eastAsia"/>
          <w:b/>
          <w:kern w:val="0"/>
          <w:sz w:val="24"/>
        </w:rPr>
        <w:t xml:space="preserve"> </w:t>
      </w:r>
      <w:r w:rsidRPr="002F78CC">
        <w:rPr>
          <w:rFonts w:hint="eastAsia"/>
          <w:kern w:val="0"/>
          <w:sz w:val="24"/>
        </w:rPr>
        <w:t>科研发展基金：学校免管理费，劳务费</w:t>
      </w:r>
      <w:bookmarkStart w:id="0" w:name="_GoBack"/>
      <w:bookmarkEnd w:id="0"/>
      <w:r w:rsidRPr="002F78CC">
        <w:rPr>
          <w:rFonts w:hint="eastAsia"/>
          <w:kern w:val="0"/>
          <w:sz w:val="24"/>
        </w:rPr>
        <w:t>支出总数不超过</w:t>
      </w:r>
      <w:r w:rsidRPr="002F78CC">
        <w:rPr>
          <w:rFonts w:hint="eastAsia"/>
          <w:kern w:val="0"/>
          <w:sz w:val="24"/>
        </w:rPr>
        <w:t>40%</w:t>
      </w:r>
      <w:r w:rsidRPr="002F78CC">
        <w:rPr>
          <w:rFonts w:hint="eastAsia"/>
          <w:kern w:val="0"/>
          <w:sz w:val="24"/>
        </w:rPr>
        <w:t>。科研基金不低于</w:t>
      </w:r>
      <w:r w:rsidRPr="002F78CC">
        <w:rPr>
          <w:rFonts w:hint="eastAsia"/>
          <w:kern w:val="0"/>
          <w:sz w:val="24"/>
        </w:rPr>
        <w:t>60%</w:t>
      </w:r>
      <w:r w:rsidRPr="002F78CC">
        <w:rPr>
          <w:rFonts w:hint="eastAsia"/>
          <w:kern w:val="0"/>
          <w:sz w:val="24"/>
        </w:rPr>
        <w:t>。</w:t>
      </w:r>
    </w:p>
    <w:p w:rsidR="008E455B" w:rsidRPr="002F78CC" w:rsidRDefault="008E455B" w:rsidP="006C7BB0">
      <w:pPr>
        <w:widowControl/>
        <w:adjustRightInd w:val="0"/>
        <w:snapToGrid w:val="0"/>
        <w:spacing w:beforeLines="50" w:before="159" w:afterLines="50" w:after="159" w:line="360" w:lineRule="auto"/>
        <w:jc w:val="center"/>
        <w:rPr>
          <w:b/>
          <w:color w:val="000000"/>
          <w:kern w:val="0"/>
          <w:sz w:val="28"/>
          <w:szCs w:val="28"/>
        </w:rPr>
      </w:pPr>
      <w:r w:rsidRPr="002F78CC">
        <w:rPr>
          <w:b/>
          <w:color w:val="000000"/>
          <w:kern w:val="0"/>
          <w:sz w:val="28"/>
          <w:szCs w:val="28"/>
        </w:rPr>
        <w:t>第五章</w:t>
      </w:r>
      <w:r w:rsidRPr="002F78CC">
        <w:rPr>
          <w:b/>
          <w:color w:val="000000"/>
          <w:kern w:val="0"/>
          <w:sz w:val="28"/>
          <w:szCs w:val="28"/>
        </w:rPr>
        <w:t xml:space="preserve">  </w:t>
      </w:r>
      <w:r w:rsidRPr="002F78CC">
        <w:rPr>
          <w:b/>
          <w:color w:val="000000"/>
          <w:kern w:val="0"/>
          <w:sz w:val="28"/>
          <w:szCs w:val="28"/>
        </w:rPr>
        <w:t>附</w:t>
      </w:r>
      <w:r w:rsidRPr="002F78CC">
        <w:rPr>
          <w:b/>
          <w:color w:val="000000"/>
          <w:kern w:val="0"/>
          <w:sz w:val="28"/>
          <w:szCs w:val="28"/>
        </w:rPr>
        <w:t xml:space="preserve"> </w:t>
      </w:r>
      <w:r w:rsidRPr="002F78CC">
        <w:rPr>
          <w:b/>
          <w:color w:val="000000"/>
          <w:kern w:val="0"/>
          <w:sz w:val="28"/>
          <w:szCs w:val="28"/>
        </w:rPr>
        <w:t>则</w:t>
      </w:r>
    </w:p>
    <w:p w:rsidR="008E455B" w:rsidRPr="002F78CC" w:rsidRDefault="008E455B" w:rsidP="006C7BB0">
      <w:pPr>
        <w:widowControl/>
        <w:adjustRightInd w:val="0"/>
        <w:snapToGrid w:val="0"/>
        <w:spacing w:line="360" w:lineRule="auto"/>
        <w:ind w:firstLineChars="200" w:firstLine="482"/>
        <w:jc w:val="left"/>
        <w:rPr>
          <w:kern w:val="0"/>
          <w:sz w:val="24"/>
        </w:rPr>
      </w:pPr>
      <w:r w:rsidRPr="002F78CC">
        <w:rPr>
          <w:b/>
          <w:kern w:val="0"/>
          <w:sz w:val="24"/>
        </w:rPr>
        <w:t>第十</w:t>
      </w:r>
      <w:r w:rsidR="008476C2" w:rsidRPr="002F78CC">
        <w:rPr>
          <w:b/>
          <w:kern w:val="0"/>
          <w:sz w:val="24"/>
        </w:rPr>
        <w:t>四</w:t>
      </w:r>
      <w:r w:rsidRPr="002F78CC">
        <w:rPr>
          <w:b/>
          <w:kern w:val="0"/>
          <w:sz w:val="24"/>
        </w:rPr>
        <w:t>条</w:t>
      </w:r>
      <w:r w:rsidRPr="002F78CC">
        <w:rPr>
          <w:kern w:val="0"/>
          <w:sz w:val="24"/>
        </w:rPr>
        <w:t xml:space="preserve"> </w:t>
      </w:r>
      <w:r w:rsidR="00D5515C" w:rsidRPr="002F78CC">
        <w:rPr>
          <w:rFonts w:hint="eastAsia"/>
          <w:kern w:val="0"/>
          <w:sz w:val="24"/>
        </w:rPr>
        <w:t xml:space="preserve"> </w:t>
      </w:r>
      <w:r w:rsidRPr="002F78CC">
        <w:rPr>
          <w:kern w:val="0"/>
          <w:sz w:val="24"/>
        </w:rPr>
        <w:t>本办法由科技处</w:t>
      </w:r>
      <w:r w:rsidRPr="002F78CC">
        <w:rPr>
          <w:color w:val="000000"/>
          <w:sz w:val="24"/>
        </w:rPr>
        <w:t>、财务处</w:t>
      </w:r>
      <w:r w:rsidRPr="002F78CC">
        <w:rPr>
          <w:kern w:val="0"/>
          <w:sz w:val="24"/>
        </w:rPr>
        <w:t>负责解释。</w:t>
      </w:r>
    </w:p>
    <w:p w:rsidR="00BF414D" w:rsidRPr="002F78CC" w:rsidRDefault="008E455B" w:rsidP="006C7BB0">
      <w:pPr>
        <w:widowControl/>
        <w:adjustRightInd w:val="0"/>
        <w:snapToGrid w:val="0"/>
        <w:spacing w:line="360" w:lineRule="auto"/>
        <w:ind w:firstLineChars="200" w:firstLine="482"/>
        <w:rPr>
          <w:color w:val="000000"/>
          <w:sz w:val="24"/>
        </w:rPr>
      </w:pPr>
      <w:r w:rsidRPr="002F78CC">
        <w:rPr>
          <w:b/>
          <w:kern w:val="0"/>
          <w:sz w:val="24"/>
        </w:rPr>
        <w:t>第十</w:t>
      </w:r>
      <w:r w:rsidR="008476C2" w:rsidRPr="002F78CC">
        <w:rPr>
          <w:b/>
          <w:kern w:val="0"/>
          <w:sz w:val="24"/>
        </w:rPr>
        <w:t>五</w:t>
      </w:r>
      <w:r w:rsidRPr="002F78CC">
        <w:rPr>
          <w:b/>
          <w:kern w:val="0"/>
          <w:sz w:val="24"/>
        </w:rPr>
        <w:t>条</w:t>
      </w:r>
      <w:r w:rsidR="00D5515C" w:rsidRPr="002F78CC">
        <w:rPr>
          <w:rFonts w:hint="eastAsia"/>
          <w:b/>
          <w:kern w:val="0"/>
          <w:sz w:val="24"/>
        </w:rPr>
        <w:t xml:space="preserve"> </w:t>
      </w:r>
      <w:r w:rsidRPr="002F78CC">
        <w:rPr>
          <w:b/>
          <w:kern w:val="0"/>
          <w:sz w:val="24"/>
        </w:rPr>
        <w:t xml:space="preserve"> </w:t>
      </w:r>
      <w:r w:rsidRPr="002F78CC">
        <w:rPr>
          <w:kern w:val="0"/>
          <w:sz w:val="24"/>
        </w:rPr>
        <w:t>本办法自</w:t>
      </w:r>
      <w:r w:rsidR="009C03CE" w:rsidRPr="002F78CC">
        <w:rPr>
          <w:kern w:val="0"/>
          <w:sz w:val="24"/>
        </w:rPr>
        <w:t>颁布之日</w:t>
      </w:r>
      <w:r w:rsidRPr="002F78CC">
        <w:rPr>
          <w:kern w:val="0"/>
          <w:sz w:val="24"/>
        </w:rPr>
        <w:t>起执行。</w:t>
      </w:r>
    </w:p>
    <w:p w:rsidR="008E455B" w:rsidRPr="002F78CC" w:rsidRDefault="008E455B" w:rsidP="006C7BB0">
      <w:pPr>
        <w:widowControl/>
        <w:adjustRightInd w:val="0"/>
        <w:snapToGrid w:val="0"/>
        <w:spacing w:line="360" w:lineRule="auto"/>
        <w:ind w:firstLineChars="200" w:firstLine="480"/>
        <w:rPr>
          <w:color w:val="000000"/>
          <w:sz w:val="24"/>
        </w:rPr>
      </w:pPr>
    </w:p>
    <w:p w:rsidR="00BF414D" w:rsidRPr="002F78CC" w:rsidRDefault="00B544AF" w:rsidP="00C7502A">
      <w:pPr>
        <w:adjustRightInd w:val="0"/>
        <w:snapToGrid w:val="0"/>
        <w:spacing w:line="360" w:lineRule="auto"/>
        <w:ind w:firstLineChars="200" w:firstLine="480"/>
        <w:jc w:val="right"/>
        <w:rPr>
          <w:color w:val="000000"/>
          <w:sz w:val="24"/>
        </w:rPr>
      </w:pPr>
      <w:r w:rsidRPr="002F78CC">
        <w:rPr>
          <w:color w:val="000000"/>
          <w:sz w:val="24"/>
        </w:rPr>
        <w:t xml:space="preserve">                 </w:t>
      </w:r>
      <w:r w:rsidR="00BF414D" w:rsidRPr="002F78CC">
        <w:rPr>
          <w:color w:val="000000"/>
          <w:sz w:val="24"/>
        </w:rPr>
        <w:t>广东药科大学</w:t>
      </w:r>
    </w:p>
    <w:p w:rsidR="00BF414D" w:rsidRPr="002F78CC" w:rsidRDefault="00BF414D" w:rsidP="00C7502A">
      <w:pPr>
        <w:adjustRightInd w:val="0"/>
        <w:snapToGrid w:val="0"/>
        <w:spacing w:line="360" w:lineRule="auto"/>
        <w:ind w:firstLineChars="200" w:firstLine="480"/>
        <w:jc w:val="right"/>
        <w:rPr>
          <w:color w:val="000000"/>
          <w:sz w:val="24"/>
        </w:rPr>
      </w:pPr>
      <w:r w:rsidRPr="002F78CC">
        <w:rPr>
          <w:color w:val="000000"/>
          <w:sz w:val="24"/>
        </w:rPr>
        <w:t xml:space="preserve">                   2017</w:t>
      </w:r>
      <w:r w:rsidRPr="002F78CC">
        <w:rPr>
          <w:color w:val="000000"/>
          <w:sz w:val="24"/>
        </w:rPr>
        <w:t>年</w:t>
      </w:r>
      <w:r w:rsidR="006566BB" w:rsidRPr="002F78CC">
        <w:rPr>
          <w:color w:val="000000"/>
          <w:sz w:val="24"/>
        </w:rPr>
        <w:t xml:space="preserve">  </w:t>
      </w:r>
      <w:r w:rsidRPr="002F78CC">
        <w:rPr>
          <w:color w:val="000000"/>
          <w:sz w:val="24"/>
        </w:rPr>
        <w:t>月</w:t>
      </w:r>
      <w:r w:rsidRPr="002F78CC">
        <w:rPr>
          <w:color w:val="000000"/>
          <w:sz w:val="24"/>
        </w:rPr>
        <w:t xml:space="preserve">   </w:t>
      </w:r>
      <w:r w:rsidRPr="002F78CC">
        <w:rPr>
          <w:color w:val="000000"/>
          <w:sz w:val="24"/>
        </w:rPr>
        <w:t>日</w:t>
      </w:r>
    </w:p>
    <w:sectPr w:rsidR="00BF414D" w:rsidRPr="002F78CC" w:rsidSect="001E151B">
      <w:footerReference w:type="default" r:id="rId7"/>
      <w:pgSz w:w="11906" w:h="16838"/>
      <w:pgMar w:top="1871" w:right="1531" w:bottom="1871" w:left="1531" w:header="851" w:footer="992" w:gutter="0"/>
      <w:pgNumType w:fmt="numberInDash"/>
      <w:cols w:space="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F42" w:rsidRDefault="00421F42" w:rsidP="001E151B">
      <w:r>
        <w:separator/>
      </w:r>
    </w:p>
  </w:endnote>
  <w:endnote w:type="continuationSeparator" w:id="0">
    <w:p w:rsidR="00421F42" w:rsidRDefault="00421F42" w:rsidP="001E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ABB" w:rsidRDefault="00146AF4">
    <w:pPr>
      <w:pStyle w:val="a5"/>
      <w:jc w:val="center"/>
    </w:pPr>
    <w:r>
      <w:fldChar w:fldCharType="begin"/>
    </w:r>
    <w:r w:rsidR="00E25ABB">
      <w:instrText>PAGE   \* MERGEFORMAT</w:instrText>
    </w:r>
    <w:r>
      <w:fldChar w:fldCharType="separate"/>
    </w:r>
    <w:r w:rsidR="00DF05A6" w:rsidRPr="00DF05A6">
      <w:rPr>
        <w:noProof/>
        <w:lang w:val="zh-CN"/>
      </w:rPr>
      <w:t>-</w:t>
    </w:r>
    <w:r w:rsidR="00DF05A6">
      <w:rPr>
        <w:noProof/>
      </w:rPr>
      <w:t xml:space="preserve"> 3 -</w:t>
    </w:r>
    <w:r>
      <w:fldChar w:fldCharType="end"/>
    </w:r>
  </w:p>
  <w:p w:rsidR="00BF414D" w:rsidRDefault="00BF41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F42" w:rsidRDefault="00421F42" w:rsidP="001E151B">
      <w:r>
        <w:separator/>
      </w:r>
    </w:p>
  </w:footnote>
  <w:footnote w:type="continuationSeparator" w:id="0">
    <w:p w:rsidR="00421F42" w:rsidRDefault="00421F42" w:rsidP="001E15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bordersDoNotSurroundFooter/>
  <w:doNotTrackMoves/>
  <w:defaultTabStop w:val="420"/>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AA5"/>
    <w:rsid w:val="000027BB"/>
    <w:rsid w:val="00003214"/>
    <w:rsid w:val="0003551A"/>
    <w:rsid w:val="00064032"/>
    <w:rsid w:val="00092AEA"/>
    <w:rsid w:val="000D4FD1"/>
    <w:rsid w:val="001273A4"/>
    <w:rsid w:val="00146AF4"/>
    <w:rsid w:val="00182D81"/>
    <w:rsid w:val="0018632E"/>
    <w:rsid w:val="001E151B"/>
    <w:rsid w:val="001E610F"/>
    <w:rsid w:val="002305C2"/>
    <w:rsid w:val="00271F61"/>
    <w:rsid w:val="0028044C"/>
    <w:rsid w:val="00280BCF"/>
    <w:rsid w:val="002B01F1"/>
    <w:rsid w:val="002C0F5F"/>
    <w:rsid w:val="002D022A"/>
    <w:rsid w:val="002D42B8"/>
    <w:rsid w:val="002E1457"/>
    <w:rsid w:val="002F78CC"/>
    <w:rsid w:val="0030203C"/>
    <w:rsid w:val="003748A7"/>
    <w:rsid w:val="00381988"/>
    <w:rsid w:val="00394FDC"/>
    <w:rsid w:val="00421F42"/>
    <w:rsid w:val="00475B57"/>
    <w:rsid w:val="00495475"/>
    <w:rsid w:val="005C0580"/>
    <w:rsid w:val="005C1D81"/>
    <w:rsid w:val="006160E7"/>
    <w:rsid w:val="006566BB"/>
    <w:rsid w:val="006C7BB0"/>
    <w:rsid w:val="00722AC1"/>
    <w:rsid w:val="007C374C"/>
    <w:rsid w:val="0082466C"/>
    <w:rsid w:val="008476C2"/>
    <w:rsid w:val="008D55AD"/>
    <w:rsid w:val="008E37FD"/>
    <w:rsid w:val="008E455B"/>
    <w:rsid w:val="00906AA5"/>
    <w:rsid w:val="009444CD"/>
    <w:rsid w:val="00964A13"/>
    <w:rsid w:val="009C03CE"/>
    <w:rsid w:val="009C3832"/>
    <w:rsid w:val="009D395C"/>
    <w:rsid w:val="00A0215F"/>
    <w:rsid w:val="00A14023"/>
    <w:rsid w:val="00A40736"/>
    <w:rsid w:val="00B01D53"/>
    <w:rsid w:val="00B544AF"/>
    <w:rsid w:val="00B86B68"/>
    <w:rsid w:val="00B906D3"/>
    <w:rsid w:val="00BD7A9A"/>
    <w:rsid w:val="00BF414D"/>
    <w:rsid w:val="00BF7510"/>
    <w:rsid w:val="00C00A1B"/>
    <w:rsid w:val="00C35CB7"/>
    <w:rsid w:val="00C446D6"/>
    <w:rsid w:val="00C70925"/>
    <w:rsid w:val="00C7502A"/>
    <w:rsid w:val="00C966D4"/>
    <w:rsid w:val="00CB560F"/>
    <w:rsid w:val="00CE4934"/>
    <w:rsid w:val="00D5515C"/>
    <w:rsid w:val="00D55E86"/>
    <w:rsid w:val="00DA5790"/>
    <w:rsid w:val="00DF05A6"/>
    <w:rsid w:val="00E113ED"/>
    <w:rsid w:val="00E25ABB"/>
    <w:rsid w:val="00E311D7"/>
    <w:rsid w:val="00E324BB"/>
    <w:rsid w:val="00E47F7A"/>
    <w:rsid w:val="00E735A4"/>
    <w:rsid w:val="00E87D8D"/>
    <w:rsid w:val="00EC4962"/>
    <w:rsid w:val="00F91B87"/>
    <w:rsid w:val="00FA4655"/>
    <w:rsid w:val="00FB26FA"/>
    <w:rsid w:val="00FC1109"/>
    <w:rsid w:val="00FC3CFC"/>
    <w:rsid w:val="2A5F11DC"/>
    <w:rsid w:val="36493C2A"/>
    <w:rsid w:val="56280CEC"/>
    <w:rsid w:val="656C4E95"/>
    <w:rsid w:val="6940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51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1E151B"/>
    <w:pPr>
      <w:jc w:val="left"/>
    </w:pPr>
    <w:rPr>
      <w:kern w:val="0"/>
      <w:sz w:val="24"/>
    </w:rPr>
  </w:style>
  <w:style w:type="character" w:customStyle="1" w:styleId="Char">
    <w:name w:val="批注文字 Char"/>
    <w:link w:val="a3"/>
    <w:uiPriority w:val="99"/>
    <w:locked/>
    <w:rsid w:val="001E151B"/>
    <w:rPr>
      <w:rFonts w:ascii="Times New Roman" w:eastAsia="宋体" w:hAnsi="Times New Roman" w:cs="Times New Roman"/>
      <w:sz w:val="24"/>
      <w:szCs w:val="24"/>
    </w:rPr>
  </w:style>
  <w:style w:type="paragraph" w:styleId="a4">
    <w:name w:val="Balloon Text"/>
    <w:basedOn w:val="a"/>
    <w:link w:val="Char0"/>
    <w:uiPriority w:val="99"/>
    <w:rsid w:val="001E151B"/>
    <w:rPr>
      <w:kern w:val="0"/>
      <w:sz w:val="18"/>
      <w:szCs w:val="18"/>
    </w:rPr>
  </w:style>
  <w:style w:type="character" w:customStyle="1" w:styleId="Char0">
    <w:name w:val="批注框文本 Char"/>
    <w:link w:val="a4"/>
    <w:uiPriority w:val="99"/>
    <w:semiHidden/>
    <w:locked/>
    <w:rsid w:val="001E151B"/>
    <w:rPr>
      <w:rFonts w:ascii="Times New Roman" w:eastAsia="宋体" w:hAnsi="Times New Roman" w:cs="Times New Roman"/>
      <w:sz w:val="18"/>
      <w:szCs w:val="18"/>
    </w:rPr>
  </w:style>
  <w:style w:type="paragraph" w:styleId="a5">
    <w:name w:val="footer"/>
    <w:basedOn w:val="a"/>
    <w:link w:val="Char1"/>
    <w:uiPriority w:val="99"/>
    <w:rsid w:val="001E151B"/>
    <w:pPr>
      <w:tabs>
        <w:tab w:val="center" w:pos="4153"/>
        <w:tab w:val="right" w:pos="8306"/>
      </w:tabs>
      <w:snapToGrid w:val="0"/>
      <w:jc w:val="left"/>
    </w:pPr>
    <w:rPr>
      <w:kern w:val="0"/>
      <w:sz w:val="18"/>
      <w:szCs w:val="18"/>
    </w:rPr>
  </w:style>
  <w:style w:type="character" w:customStyle="1" w:styleId="Char1">
    <w:name w:val="页脚 Char"/>
    <w:link w:val="a5"/>
    <w:uiPriority w:val="99"/>
    <w:locked/>
    <w:rsid w:val="001E151B"/>
    <w:rPr>
      <w:rFonts w:ascii="Times New Roman" w:eastAsia="宋体" w:hAnsi="Times New Roman" w:cs="Times New Roman"/>
      <w:sz w:val="18"/>
      <w:szCs w:val="18"/>
    </w:rPr>
  </w:style>
  <w:style w:type="paragraph" w:styleId="a6">
    <w:name w:val="header"/>
    <w:basedOn w:val="a"/>
    <w:link w:val="Char2"/>
    <w:uiPriority w:val="99"/>
    <w:rsid w:val="001E151B"/>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uiPriority w:val="99"/>
    <w:locked/>
    <w:rsid w:val="001E151B"/>
    <w:rPr>
      <w:rFonts w:ascii="Times New Roman" w:eastAsia="宋体" w:hAnsi="Times New Roman" w:cs="Times New Roman"/>
      <w:sz w:val="18"/>
      <w:szCs w:val="18"/>
    </w:rPr>
  </w:style>
  <w:style w:type="table" w:styleId="a7">
    <w:name w:val="Table Grid"/>
    <w:basedOn w:val="a1"/>
    <w:uiPriority w:val="99"/>
    <w:rsid w:val="001E151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jcc</dc:creator>
  <cp:keywords/>
  <dc:description/>
  <cp:lastModifiedBy>2069</cp:lastModifiedBy>
  <cp:revision>39</cp:revision>
  <cp:lastPrinted>2017-03-09T03:01:00Z</cp:lastPrinted>
  <dcterms:created xsi:type="dcterms:W3CDTF">2017-01-24T05:28:00Z</dcterms:created>
  <dcterms:modified xsi:type="dcterms:W3CDTF">2017-03-31T02:51:00Z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